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ascii="Times New Roman" w:hAnsi="Times New Roman" w:cs="Times New Roman"/>
          <w:b/>
          <w:bCs/>
          <w:sz w:val="28"/>
          <w:szCs w:val="24"/>
          <w:lang w:val="en-US" w:eastAsia="zh-CN"/>
        </w:rPr>
      </w:pPr>
      <w:bookmarkStart w:id="0" w:name="DocumentFor"/>
      <w:bookmarkEnd w:id="0"/>
      <w:r>
        <w:rPr>
          <w:rFonts w:hint="default" w:ascii="Times New Roman" w:hAnsi="Times New Roman" w:eastAsia="Batang" w:cs="Times New Roman"/>
          <w:b/>
          <w:bCs/>
          <w:sz w:val="28"/>
          <w:szCs w:val="24"/>
          <w:lang w:eastAsia="en-US"/>
        </w:rPr>
        <w:t>3GPP TSG RAN WG1 #10</w:t>
      </w:r>
      <w:r>
        <w:rPr>
          <w:rFonts w:hint="default" w:ascii="Times New Roman" w:hAnsi="Times New Roman" w:cs="Times New Roman"/>
          <w:b/>
          <w:bCs/>
          <w:sz w:val="28"/>
          <w:szCs w:val="24"/>
          <w:lang w:val="en-US" w:eastAsia="zh-CN"/>
        </w:rPr>
        <w:t>9</w:t>
      </w:r>
      <w:r>
        <w:rPr>
          <w:rFonts w:hint="default" w:ascii="Times New Roman" w:hAnsi="Times New Roman" w:eastAsia="Batang" w:cs="Times New Roman"/>
          <w:b/>
          <w:bCs/>
          <w:sz w:val="28"/>
          <w:szCs w:val="24"/>
          <w:lang w:eastAsia="en-US"/>
        </w:rPr>
        <w:t>-e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cs="Times New Roman"/>
          <w:b/>
          <w:bCs/>
          <w:sz w:val="28"/>
          <w:szCs w:val="24"/>
          <w:lang w:val="en-US" w:eastAsia="zh-CN"/>
        </w:rPr>
        <w:t xml:space="preserve">         </w:t>
      </w:r>
      <w:r>
        <w:rPr>
          <w:rFonts w:hint="default" w:ascii="Times New Roman" w:hAnsi="Times New Roman" w:eastAsia="Batang" w:cs="Times New Roman"/>
          <w:b/>
          <w:bCs/>
          <w:sz w:val="28"/>
          <w:szCs w:val="24"/>
          <w:lang w:eastAsia="en-US"/>
        </w:rPr>
        <w:t>R1-2</w:t>
      </w:r>
      <w:r>
        <w:rPr>
          <w:rFonts w:hint="default" w:ascii="Times New Roman" w:hAnsi="Times New Roman" w:eastAsia="Batang" w:cs="Times New Roman"/>
          <w:b/>
          <w:bCs/>
          <w:sz w:val="28"/>
          <w:szCs w:val="24"/>
          <w:lang w:val="en-US" w:eastAsia="en-US"/>
        </w:rPr>
        <w:t>204329</w:t>
      </w:r>
    </w:p>
    <w:p>
      <w:pPr>
        <w:widowControl w:val="0"/>
        <w:spacing w:after="0"/>
        <w:jc w:val="both"/>
        <w:outlineLvl w:val="0"/>
        <w:rPr>
          <w:rFonts w:hint="default" w:ascii="Times New Roman" w:hAnsi="Times New Roman" w:eastAsia="Batang" w:cs="Times New Roman"/>
          <w:b/>
          <w:bCs/>
          <w:sz w:val="28"/>
          <w:szCs w:val="24"/>
          <w:lang w:eastAsia="en-US"/>
        </w:rPr>
      </w:pPr>
      <w:r>
        <w:rPr>
          <w:rFonts w:hint="default" w:ascii="Times New Roman" w:hAnsi="Times New Roman" w:eastAsia="Batang" w:cs="Times New Roman"/>
          <w:b/>
          <w:bCs/>
          <w:sz w:val="28"/>
          <w:szCs w:val="24"/>
          <w:lang w:eastAsia="en-US"/>
        </w:rPr>
        <w:t xml:space="preserve">e-Meeting, </w:t>
      </w:r>
      <w:r>
        <w:rPr>
          <w:rFonts w:hint="default" w:ascii="Times New Roman" w:hAnsi="Times New Roman" w:eastAsia="Batang" w:cs="Times New Roman"/>
          <w:b/>
          <w:bCs/>
          <w:sz w:val="28"/>
          <w:szCs w:val="24"/>
          <w:lang w:eastAsia="ja-JP"/>
        </w:rPr>
        <w:t>May 9</w:t>
      </w:r>
      <w:r>
        <w:rPr>
          <w:rFonts w:hint="default" w:ascii="Times New Roman" w:hAnsi="Times New Roman" w:eastAsia="Batang" w:cs="Times New Roman"/>
          <w:b/>
          <w:bCs/>
          <w:sz w:val="28"/>
          <w:szCs w:val="24"/>
          <w:vertAlign w:val="superscript"/>
          <w:lang w:eastAsia="ja-JP"/>
        </w:rPr>
        <w:t>th</w:t>
      </w:r>
      <w:r>
        <w:rPr>
          <w:rFonts w:hint="default" w:ascii="Times New Roman" w:hAnsi="Times New Roman" w:eastAsia="Batang" w:cs="Times New Roman"/>
          <w:b/>
          <w:bCs/>
          <w:sz w:val="28"/>
          <w:szCs w:val="24"/>
          <w:lang w:eastAsia="ja-JP"/>
        </w:rPr>
        <w:t xml:space="preserve"> – 20</w:t>
      </w:r>
      <w:r>
        <w:rPr>
          <w:rFonts w:hint="default" w:ascii="Times New Roman" w:hAnsi="Times New Roman" w:eastAsia="Batang" w:cs="Times New Roman"/>
          <w:b/>
          <w:bCs/>
          <w:sz w:val="28"/>
          <w:szCs w:val="24"/>
          <w:vertAlign w:val="superscript"/>
          <w:lang w:eastAsia="ja-JP"/>
        </w:rPr>
        <w:t>th</w:t>
      </w:r>
      <w:r>
        <w:rPr>
          <w:rFonts w:hint="default" w:ascii="Times New Roman" w:hAnsi="Times New Roman" w:eastAsia="Batang" w:cs="Times New Roman"/>
          <w:b/>
          <w:bCs/>
          <w:sz w:val="28"/>
          <w:szCs w:val="24"/>
          <w:lang w:eastAsia="ja-JP"/>
        </w:rPr>
        <w:t>, 2022</w:t>
      </w:r>
    </w:p>
    <w:p>
      <w:pPr>
        <w:widowControl w:val="0"/>
        <w:spacing w:after="0"/>
        <w:jc w:val="both"/>
        <w:rPr>
          <w:sz w:val="24"/>
          <w:szCs w:val="24"/>
          <w:lang w:eastAsia="zh-CN"/>
        </w:rPr>
      </w:pPr>
    </w:p>
    <w:p>
      <w:pPr>
        <w:pStyle w:val="125"/>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9.12</w:t>
      </w:r>
      <w:r>
        <w:rPr>
          <w:rFonts w:ascii="Times New Roman" w:hAnsi="Times New Roman"/>
          <w:sz w:val="24"/>
          <w:szCs w:val="24"/>
          <w:lang w:eastAsia="zh-CN"/>
        </w:rPr>
        <w:t>.</w:t>
      </w:r>
      <w:r>
        <w:rPr>
          <w:rFonts w:hint="default" w:ascii="Times New Roman" w:hAnsi="Times New Roman"/>
          <w:sz w:val="24"/>
          <w:szCs w:val="24"/>
          <w:lang w:val="en-US" w:eastAsia="zh-CN"/>
        </w:rPr>
        <w:t>2</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rPr>
      </w:pPr>
      <w:bookmarkStart w:id="4" w:name="_Toc120549591"/>
      <w:r>
        <w:rPr>
          <w:rFonts w:ascii="Times New Roman" w:hAnsi="Times New Roman"/>
        </w:rPr>
        <w:t>Introduction</w:t>
      </w:r>
      <w:bookmarkEnd w:id="4"/>
    </w:p>
    <w:bookmarkEnd w:id="1"/>
    <w:bookmarkEnd w:id="2"/>
    <w:p>
      <w:pPr>
        <w:keepLines w:val="0"/>
        <w:pageBreakBefore w:val="0"/>
        <w:kinsoku/>
        <w:wordWrap/>
        <w:overflowPunct/>
        <w:topLinePunct w:val="0"/>
        <w:autoSpaceDE/>
        <w:autoSpaceDN/>
        <w:bidi w:val="0"/>
        <w:spacing w:before="0" w:beforeLines="50" w:after="0" w:afterLines="50"/>
        <w:textAlignment w:val="auto"/>
        <w:rPr>
          <w:rFonts w:hint="default" w:ascii="Times New Roman" w:hAnsi="Times New Roman" w:cs="Times New Roman"/>
          <w:sz w:val="20"/>
          <w:szCs w:val="20"/>
          <w:lang w:val="en-US"/>
        </w:rPr>
      </w:pPr>
      <w:bookmarkStart w:id="5" w:name="_Hlk521259925"/>
      <w:r>
        <w:rPr>
          <w:rFonts w:hint="default" w:ascii="Times New Roman" w:hAnsi="Times New Roman" w:cs="Times New Roman"/>
          <w:sz w:val="20"/>
          <w:szCs w:val="20"/>
          <w:lang w:val="en-US"/>
        </w:rPr>
        <w:t>During RAN#94-e and</w:t>
      </w:r>
      <w:r>
        <w:rPr>
          <w:rFonts w:ascii="Times New Roman" w:hAnsi="Times New Roman" w:cs="Times New Roman"/>
          <w:sz w:val="20"/>
          <w:szCs w:val="20"/>
        </w:rPr>
        <w:t xml:space="preserve"> RAN#</w:t>
      </w:r>
      <w:r>
        <w:rPr>
          <w:rFonts w:hint="default" w:ascii="Times New Roman" w:hAnsi="Times New Roman" w:cs="Times New Roman"/>
          <w:sz w:val="20"/>
          <w:szCs w:val="20"/>
          <w:lang w:val="en-US"/>
        </w:rPr>
        <w:t>95</w:t>
      </w:r>
      <w:r>
        <w:rPr>
          <w:rFonts w:ascii="Times New Roman" w:hAnsi="Times New Roman" w:cs="Times New Roman"/>
          <w:sz w:val="20"/>
          <w:szCs w:val="20"/>
        </w:rPr>
        <w:t xml:space="preserve">-e meeting, </w:t>
      </w:r>
      <w:r>
        <w:rPr>
          <w:rFonts w:hint="eastAsia" w:ascii="Times New Roman" w:hAnsi="Times New Roman" w:cs="Times New Roman"/>
          <w:sz w:val="20"/>
          <w:szCs w:val="20"/>
        </w:rPr>
        <w:t>a new work item is proposed to define further enhancements for NB-IoT NTN and eMTC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hint="default" w:ascii="Times New Roman" w:hAnsi="Times New Roman" w:cs="Times New Roman"/>
          <w:sz w:val="20"/>
          <w:szCs w:val="20"/>
          <w:lang w:val="en-US"/>
        </w:rPr>
        <w:t xml:space="preserve"> The justification and objectives that the work item focuses on are as follows</w:t>
      </w:r>
    </w:p>
    <w:tbl>
      <w:tblPr>
        <w:tblStyle w:val="4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In Release 17, a work item is carried out to enable NB-IoT and eMTC to support Non-Terrestrial Networks (NTN) under the following assumptions: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Transparent payload based GEO and NGSO network scenarios addressing at least 3GPP power class 3 UE with GNSS capability in both Earth fixed &amp;/or moving cell configurations.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As part of release 18, a new work item is proposed to define further enhancements for NB-IoT NTN and eMTC NTN in order to:</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Improve mobility aspects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Improve performance in terms of throughput</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Optimize the GNSS operation with sparse use of GNSS and power efficiency for long-term connection (compared to Rel-17)</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Further enhance support for discontinuous coverage (subject to Rel-17 IoT-NTN status on discontinuous coverage at RAN#96e/June 2022)</w:t>
            </w:r>
          </w:p>
          <w:p>
            <w:pPr>
              <w:rPr>
                <w:rFonts w:hint="default" w:ascii="Times New Roman" w:hAnsi="Times New Roman" w:eastAsia="MS Mincho" w:cs="Times New Roman"/>
                <w:b w:val="0"/>
                <w:bCs w:val="0"/>
                <w:kern w:val="0"/>
                <w:sz w:val="20"/>
                <w:szCs w:val="20"/>
                <w:lang w:eastAsia="en-US"/>
              </w:rPr>
            </w:pPr>
            <w:r>
              <w:rPr>
                <w:rFonts w:ascii="Times New Roman" w:hAnsi="Times New Roman" w:eastAsia="MS Mincho" w:cs="Times New Roman"/>
                <w:b/>
                <w:bCs/>
                <w:kern w:val="0"/>
                <w:sz w:val="20"/>
                <w:szCs w:val="20"/>
                <w:lang w:eastAsia="en-US"/>
              </w:rPr>
              <w:t>Objective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The work item aims to specify further enhancements for E-UTRA (LTE-RAN) based NTN (non-terrestrial networks) according to the following assumptions:</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GEO and NGSO (LEO and MEO).</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Earth fixed Tracking area. Earth fixed &amp; Earth moving cells for NGSO</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FDD mode</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UEs with GNSS capabilities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The detailed objectives are to specify enhanced NB-IoT NTN and eMTC NTN radio interfaces and E-UTRAN/NG-RAN as follows: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val="en-US" w:eastAsia="en-US"/>
              </w:rPr>
              <w:t xml:space="preserve">The first objective is that </w:t>
            </w:r>
            <w:r>
              <w:rPr>
                <w:rFonts w:hint="default" w:ascii="Times New Roman" w:hAnsi="Times New Roman" w:eastAsia="MS Mincho" w:cs="Times New Roman"/>
                <w:b w:val="0"/>
                <w:bCs w:val="0"/>
                <w:kern w:val="0"/>
                <w:sz w:val="20"/>
                <w:szCs w:val="20"/>
                <w:lang w:eastAsia="en-US"/>
              </w:rPr>
              <w:t>IoT-NTN Performance Enhancements in Rel-18 to address remaining issues from Rel-17</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This work considers Rel-17 IoT-NTN as baseline as well as Rel-17 NR-NTN outcome and the further IoT-NTN performance enhancements objectives are listed below:</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Disabling of HARQ feedback to mitigate impact of HARQ stalling on UE data rates [RAN1,RAN2]</w:t>
            </w:r>
          </w:p>
          <w:p>
            <w:pPr>
              <w:keepNext w:val="0"/>
              <w:keepLines w:val="0"/>
              <w:pageBreakBefore w:val="0"/>
              <w:widowControl w:val="0"/>
              <w:kinsoku/>
              <w:wordWrap/>
              <w:overflowPunct/>
              <w:topLinePunct w:val="0"/>
              <w:autoSpaceDE/>
              <w:autoSpaceDN/>
              <w:bidi w:val="0"/>
              <w:adjustRightInd/>
              <w:snapToGrid/>
              <w:spacing w:before="0" w:beforeLines="50" w:after="0" w:afterLines="50"/>
              <w:ind w:left="567" w:leftChars="0" w:hanging="283" w:firstLineChars="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w:t>
            </w:r>
            <w:r>
              <w:rPr>
                <w:rFonts w:hint="default" w:ascii="Times New Roman" w:hAnsi="Times New Roman" w:eastAsia="MS Mincho" w:cs="Times New Roman"/>
                <w:b w:val="0"/>
                <w:bCs w:val="0"/>
                <w:kern w:val="0"/>
                <w:sz w:val="20"/>
                <w:szCs w:val="20"/>
                <w:lang w:eastAsia="en-US"/>
              </w:rPr>
              <w:tab/>
            </w:r>
            <w:r>
              <w:rPr>
                <w:rFonts w:hint="default" w:ascii="Times New Roman" w:hAnsi="Times New Roman" w:eastAsia="MS Mincho" w:cs="Times New Roman"/>
                <w:b w:val="0"/>
                <w:bCs w:val="0"/>
                <w:kern w:val="0"/>
                <w:sz w:val="20"/>
                <w:szCs w:val="20"/>
                <w:lang w:eastAsia="en-US"/>
              </w:rPr>
              <w:t>Study and specify, if needed, improved GNSS operations for a new position fix for UE pre-compensation during long connection times and for reduced power consumption. Simultaneous GNSS and NTN NB-IoT/eMTC operation is not assumed. [RAN1]</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1020" w:leftChars="250" w:hanging="420" w:firstLineChars="0"/>
              <w:jc w:val="both"/>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eastAsia="en-US"/>
              </w:rPr>
              <w:t>NOTE: The need for RAN4 Core requirements for this objective will be identified after the conclusion on the need for improvements.</w:t>
            </w:r>
          </w:p>
        </w:tc>
      </w:tr>
    </w:tbl>
    <w:p>
      <w:pPr>
        <w:keepLines w:val="0"/>
        <w:pageBreakBefore w:val="0"/>
        <w:kinsoku/>
        <w:wordWrap/>
        <w:overflowPunct/>
        <w:topLinePunct w:val="0"/>
        <w:autoSpaceDE/>
        <w:autoSpaceDN/>
        <w:bidi w:val="0"/>
        <w:spacing w:before="0" w:beforeLines="50" w:after="0" w:afterLines="5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enhancement on </w:t>
      </w:r>
      <w:r>
        <w:rPr>
          <w:rFonts w:hint="default" w:ascii="Times New Roman" w:hAnsi="Times New Roman" w:cs="Times New Roman"/>
          <w:bCs/>
          <w:iCs/>
          <w:sz w:val="20"/>
          <w:szCs w:val="20"/>
          <w:lang w:val="en-US"/>
        </w:rPr>
        <w:t>HARQ</w:t>
      </w:r>
      <w:r>
        <w:rPr>
          <w:rFonts w:ascii="Times New Roman" w:hAnsi="Times New Roman" w:cs="Times New Roman"/>
          <w:bCs/>
          <w:iCs/>
          <w:sz w:val="20"/>
          <w:szCs w:val="20"/>
        </w:rPr>
        <w:t>, and some other issues</w:t>
      </w:r>
      <w:r>
        <w:rPr>
          <w:rFonts w:hint="default" w:ascii="Times New Roman" w:hAnsi="Times New Roman" w:cs="Times New Roman"/>
          <w:bCs/>
          <w:iCs/>
          <w:sz w:val="20"/>
          <w:szCs w:val="20"/>
          <w:lang w:val="en-US"/>
        </w:rPr>
        <w:t xml:space="preserve"> for IoT NTN</w:t>
      </w:r>
      <w:r>
        <w:rPr>
          <w:rFonts w:ascii="Times New Roman" w:hAnsi="Times New Roman" w:cs="Times New Roman"/>
          <w:bCs/>
          <w:iCs/>
          <w:sz w:val="20"/>
          <w:szCs w:val="20"/>
        </w:rPr>
        <w:t>.</w:t>
      </w:r>
    </w:p>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lang w:eastAsia="zh-CN"/>
        </w:rPr>
      </w:pPr>
      <w:r>
        <w:rPr>
          <w:rFonts w:hint="eastAsia" w:ascii="Times New Roman" w:hAnsi="Times New Roman" w:cs="Times New Roman"/>
          <w:lang w:eastAsia="zh-CN"/>
        </w:rPr>
        <w:t>D</w:t>
      </w:r>
      <w:r>
        <w:rPr>
          <w:rFonts w:ascii="Times New Roman" w:hAnsi="Times New Roman" w:cs="Times New Roman"/>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lang w:val="en-US"/>
        </w:rPr>
      </w:pPr>
      <w:r>
        <w:rPr>
          <w:rFonts w:hint="default"/>
          <w:b/>
          <w:bCs/>
          <w:lang w:val="en-US"/>
        </w:rPr>
        <w:t xml:space="preserve">2.1 </w:t>
      </w:r>
      <w:r>
        <w:rPr>
          <w:b/>
          <w:bCs/>
        </w:rPr>
        <w:t xml:space="preserve">Issue-1: </w:t>
      </w:r>
      <w:r>
        <w:rPr>
          <w:rFonts w:hint="default"/>
          <w:b/>
          <w:bCs/>
          <w:lang w:val="en-US"/>
        </w:rPr>
        <w:t>Disabling HARQ feedback</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with the cost of reduced reliability. </w:t>
      </w:r>
      <w:r>
        <w:rPr>
          <w:rFonts w:hint="default" w:ascii="Times New Roman" w:hAnsi="Times New Roman" w:cs="Times New Roman"/>
          <w:sz w:val="20"/>
          <w:szCs w:val="20"/>
          <w:lang w:val="en-US"/>
        </w:rPr>
        <w:t>When disabling of HARQ feedback is configured for transmission, there is no need to wait for the HARQ feedback before the new data transmission, which obviously avoids HARQ stalling and consequently increases the data rate. In addition, disabling of HARQ feedback may especially bring more benefits to the GEO network scenarios (e.g. GEO with RTT about 500 ms) due to the transmission waiting time is reduced.</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Note that UL data transmission consumes the most amount of energy for a UE. </w:t>
      </w:r>
      <w:r>
        <w:rPr>
          <w:rFonts w:hint="default" w:ascii="Times New Roman" w:hAnsi="Times New Roman" w:cs="Times New Roman"/>
          <w:sz w:val="20"/>
          <w:szCs w:val="20"/>
          <w:lang w:val="en-US"/>
        </w:rPr>
        <w:t>If HARQ feedback is disabled, higher repetition number may be configured, which may significantly increase the power consumption for DL data reception. Note that the main requirements for IoT devices are low complexity and low power consumption, whether disabling of HARQ has benefits to save UE power consumption needs to be further studied. From our understanding, this</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may </w:t>
      </w:r>
      <w:r>
        <w:rPr>
          <w:rFonts w:ascii="Times New Roman" w:hAnsi="Times New Roman" w:cs="Times New Roman"/>
          <w:sz w:val="20"/>
          <w:szCs w:val="20"/>
        </w:rPr>
        <w:t>depend on whether reliability reduction is acceptable</w:t>
      </w:r>
      <w:r>
        <w:rPr>
          <w:rFonts w:hint="default" w:ascii="Times New Roman" w:hAnsi="Times New Roman" w:cs="Times New Roman"/>
          <w:sz w:val="20"/>
          <w:szCs w:val="20"/>
          <w:lang w:val="en-US"/>
        </w:rPr>
        <w:t>.</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Considering that disabling of HARQ feedback may result in the issue on reduced reliability, r</w:t>
      </w:r>
      <w:r>
        <w:rPr>
          <w:rFonts w:ascii="Times New Roman" w:hAnsi="Times New Roman" w:cs="Times New Roman"/>
          <w:sz w:val="20"/>
          <w:szCs w:val="20"/>
        </w:rPr>
        <w:t>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(i.e. RLC ARQ) can be considered to meet reliability requirements</w:t>
      </w:r>
      <w:r>
        <w:rPr>
          <w:rFonts w:hint="default" w:ascii="Times New Roman" w:hAnsi="Times New Roman" w:cs="Times New Roman"/>
          <w:sz w:val="20"/>
          <w:szCs w:val="20"/>
          <w:lang w:val="en-US"/>
        </w:rPr>
        <w:t xml:space="preserve"> as IoT services are usually delay-tolerant</w:t>
      </w:r>
      <w:r>
        <w:rPr>
          <w:rFonts w:ascii="Times New Roman" w:hAnsi="Times New Roman" w:cs="Times New Roman"/>
          <w:sz w:val="20"/>
          <w:szCs w:val="20"/>
        </w:rPr>
        <w:t>. Nevertheless, re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may significantly increase power consumption at least for UL transmission. UE may need to awake for a longer time to wait for the potential re</w:t>
      </w:r>
      <w:r>
        <w:rPr>
          <w:rFonts w:hint="default" w:ascii="Times New Roman" w:hAnsi="Times New Roman" w:cs="Times New Roman"/>
          <w:sz w:val="20"/>
          <w:szCs w:val="20"/>
          <w:lang w:val="en-US"/>
        </w:rPr>
        <w:t>-</w:t>
      </w:r>
      <w:r>
        <w:rPr>
          <w:rFonts w:ascii="Times New Roman" w:hAnsi="Times New Roman" w:cs="Times New Roman"/>
          <w:sz w:val="20"/>
          <w:szCs w:val="20"/>
        </w:rPr>
        <w:t>transmission scheduling signaling trigge</w:t>
      </w:r>
      <w:r>
        <w:rPr>
          <w:rFonts w:hint="default" w:ascii="Times New Roman" w:hAnsi="Times New Roman" w:cs="Times New Roman"/>
          <w:sz w:val="20"/>
          <w:szCs w:val="20"/>
          <w:lang w:val="en-US"/>
        </w:rPr>
        <w:t>re</w:t>
      </w:r>
      <w:r>
        <w:rPr>
          <w:rFonts w:ascii="Times New Roman" w:hAnsi="Times New Roman" w:cs="Times New Roman"/>
          <w:sz w:val="20"/>
          <w:szCs w:val="20"/>
        </w:rPr>
        <w:t>d by RLC layer, which may increase the power consumption for PDCCH monitoring.</w:t>
      </w:r>
    </w:p>
    <w:p>
      <w:pPr>
        <w:spacing w:before="120" w:beforeLines="50" w:after="120" w:afterLines="50"/>
        <w:rPr>
          <w:rFonts w:ascii="Times New Roman" w:hAnsi="Times New Roman" w:cs="Times New Roman"/>
          <w:sz w:val="20"/>
          <w:szCs w:val="20"/>
        </w:rPr>
      </w:pPr>
      <w:r>
        <w:rPr>
          <w:rFonts w:hint="eastAsia" w:ascii="Times New Roman" w:hAnsi="Times New Roman" w:cs="Times New Roman"/>
          <w:sz w:val="20"/>
          <w:szCs w:val="20"/>
        </w:rPr>
        <w:t>B</w:t>
      </w:r>
      <w:r>
        <w:rPr>
          <w:rFonts w:ascii="Times New Roman" w:hAnsi="Times New Roman" w:cs="Times New Roman"/>
          <w:sz w:val="20"/>
          <w:szCs w:val="20"/>
        </w:rPr>
        <w:t>ased on above discussion, disabling HARQ feedback is beneficial to increase the data rate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Proposal 1. The disabling of HARQ feedback should be supported for IoT NTN.</w:t>
      </w:r>
    </w:p>
    <w:p>
      <w:pPr>
        <w:spacing w:before="120" w:beforeLines="50" w:after="120" w:afterLines="50"/>
        <w:rPr>
          <w:rFonts w:hint="default" w:ascii="Times New Roman" w:hAnsi="Times New Roman" w:cs="Times New Roman"/>
          <w:b/>
          <w:bCs/>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2.</w:t>
      </w:r>
      <w:r>
        <w:rPr>
          <w:rFonts w:ascii="Times New Roman" w:hAnsi="Times New Roman" w:cs="Times New Roman"/>
          <w:bCs/>
          <w:sz w:val="20"/>
          <w:szCs w:val="20"/>
        </w:rPr>
        <w:t xml:space="preserve"> </w:t>
      </w:r>
      <w:r>
        <w:rPr>
          <w:rFonts w:ascii="Times New Roman" w:hAnsi="Times New Roman" w:cs="Times New Roman"/>
          <w:b/>
          <w:bCs/>
          <w:sz w:val="20"/>
          <w:szCs w:val="20"/>
        </w:rPr>
        <w:t>The impact of disabling HARQ feedback on power consumption, as well as whether reliability reduction is acceptable in IoT NTN, needs further study.</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lang w:val="en-US"/>
        </w:rPr>
      </w:pPr>
      <w:r>
        <w:rPr>
          <w:rFonts w:hint="default"/>
          <w:b/>
          <w:bCs/>
          <w:lang w:val="en-US"/>
        </w:rPr>
        <w:t>2.2 Issue-2: Enhancement on disabling HARQ feedback</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highlight w:val="none"/>
          <w:lang w:val="en-US"/>
        </w:rPr>
        <w:t>I</w:t>
      </w:r>
      <w:r>
        <w:rPr>
          <w:rFonts w:ascii="Times New Roman" w:hAnsi="Times New Roman" w:cs="Times New Roman"/>
          <w:bCs/>
          <w:iCs/>
          <w:sz w:val="20"/>
          <w:szCs w:val="20"/>
          <w:highlight w:val="none"/>
        </w:rPr>
        <w:t xml:space="preserve">t is obvious that disabling HARQ feedback will increase the residual block error rate because HARQ feedback based re-transmissions are not allowed anymore. </w:t>
      </w:r>
      <w:r>
        <w:rPr>
          <w:rFonts w:ascii="Times New Roman" w:hAnsi="Times New Roman" w:cs="Times New Roman"/>
          <w:bCs/>
          <w:iCs/>
          <w:sz w:val="20"/>
          <w:szCs w:val="20"/>
        </w:rPr>
        <w:t>In order to guarantee the data transmission reliability when HARQ disabled, some enhancement mechanisms should be considered.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Cs/>
          <w:iCs/>
          <w:sz w:val="20"/>
          <w:szCs w:val="20"/>
        </w:rPr>
        <w:t>Different high layer parameters can be configured for HARQ process with/without feedback</w:t>
      </w:r>
      <w:r>
        <w:rPr>
          <w:rFonts w:hint="default" w:ascii="Times New Roman" w:hAnsi="Times New Roman" w:cs="Times New Roman"/>
          <w:bCs/>
          <w:iCs/>
          <w:sz w:val="20"/>
          <w:szCs w:val="20"/>
          <w:lang w:val="en-US"/>
        </w:rPr>
        <w:t xml:space="preserve">. </w:t>
      </w: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w:t>
      </w:r>
      <w:r>
        <w:rPr>
          <w:rFonts w:hint="default" w:ascii="Times New Roman" w:hAnsi="Times New Roman" w:cs="Times New Roman"/>
          <w:sz w:val="20"/>
          <w:szCs w:val="20"/>
          <w:lang w:val="en-US"/>
        </w:rPr>
        <w:t>2</w:t>
      </w:r>
      <w:r>
        <w:rPr>
          <w:rFonts w:ascii="Times New Roman" w:hAnsi="Times New Roman" w:cs="Times New Roman"/>
          <w:sz w:val="20"/>
          <w:szCs w:val="20"/>
        </w:rPr>
        <w:t xml:space="preserve">-e meeting, the following agreement </w:t>
      </w:r>
      <w:r>
        <w:rPr>
          <w:rFonts w:hint="default" w:ascii="Times New Roman" w:hAnsi="Times New Roman" w:cs="Times New Roman"/>
          <w:sz w:val="20"/>
          <w:szCs w:val="20"/>
          <w:lang w:val="en-US"/>
        </w:rPr>
        <w:t>on</w:t>
      </w:r>
      <w:r>
        <w:rPr>
          <w:rFonts w:ascii="Times New Roman" w:hAnsi="Times New Roman" w:cs="Times New Roman"/>
          <w:sz w:val="20"/>
          <w:szCs w:val="20"/>
        </w:rPr>
        <w:t xml:space="preserve"> </w:t>
      </w:r>
      <w:r>
        <w:rPr>
          <w:rFonts w:hint="default" w:ascii="Times New Roman" w:hAnsi="Times New Roman" w:cs="Times New Roman"/>
          <w:sz w:val="20"/>
          <w:szCs w:val="20"/>
          <w:lang w:val="en-US"/>
        </w:rPr>
        <w:t>HARQ feedback</w:t>
      </w:r>
      <w:r>
        <w:rPr>
          <w:rFonts w:ascii="Times New Roman" w:hAnsi="Times New Roman" w:cs="Times New Roman"/>
          <w:sz w:val="20"/>
          <w:szCs w:val="20"/>
        </w:rPr>
        <w:t xml:space="preserve"> transmission</w:t>
      </w:r>
      <w:r>
        <w:rPr>
          <w:rFonts w:hint="default" w:ascii="Times New Roman" w:hAnsi="Times New Roman" w:cs="Times New Roman"/>
          <w:sz w:val="20"/>
          <w:szCs w:val="20"/>
          <w:lang w:val="en-US"/>
        </w:rPr>
        <w:t xml:space="preserve"> for NR NTN</w:t>
      </w:r>
      <w:r>
        <w:rPr>
          <w:rFonts w:ascii="Times New Roman" w:hAnsi="Times New Roman" w:cs="Times New Roman"/>
          <w:sz w:val="20"/>
          <w:szCs w:val="20"/>
        </w:rPr>
        <w:t xml:space="preserve"> was achieved</w:t>
      </w:r>
      <w:r>
        <w:rPr>
          <w:rFonts w:hint="default" w:ascii="Times New Roman" w:hAnsi="Times New Roman" w:cs="Times New Roman"/>
          <w:sz w:val="20"/>
          <w:szCs w:val="20"/>
          <w:lang w:val="en-US"/>
        </w:rPr>
        <w:t xml:space="preserve"> [2].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eastAsia" w:ascii="Times New Roman" w:hAnsi="Times New Roman" w:eastAsia="MS Mincho" w:cs="Times New Roman"/>
                <w:b w:val="0"/>
                <w:bCs w:val="0"/>
                <w:kern w:val="0"/>
                <w:sz w:val="20"/>
                <w:szCs w:val="20"/>
                <w:lang w:eastAsia="en-US"/>
              </w:rPr>
              <w:t>Enabling/disabling on HARQ feedback for downlink transmission should be at least configurable per HARQ process via UE specific RRC signaling</w:t>
            </w:r>
            <w:r>
              <w:rPr>
                <w:rFonts w:hint="default" w:ascii="Times New Roman" w:hAnsi="Times New Roman" w:eastAsia="MS Mincho" w:cs="Times New Roman"/>
                <w:b w:val="0"/>
                <w:bCs w:val="0"/>
                <w:kern w:val="0"/>
                <w:sz w:val="20"/>
                <w:szCs w:val="20"/>
                <w:lang w:val="en-US" w:eastAsia="en-US"/>
              </w:rPr>
              <w:t>.</w:t>
            </w:r>
          </w:p>
        </w:tc>
      </w:tr>
    </w:tbl>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The mechanism on HARQ feedback disabling agreed for NR NTN can be reused, and disabling of HARQ feedback can be configured per HARQ process via UE specific RRC signaling signaling for IoT NTN. </w:t>
      </w:r>
    </w:p>
    <w:p>
      <w:pPr>
        <w:spacing w:before="120" w:beforeLines="50" w:after="120" w:afterLines="50"/>
        <w:rPr>
          <w:rFonts w:hint="default" w:ascii="Times New Roman" w:hAnsi="Times New Roman" w:cs="Times New Roman"/>
          <w:b/>
          <w:bCs w:val="0"/>
          <w:iCs/>
          <w:sz w:val="20"/>
          <w:szCs w:val="20"/>
          <w:highlight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3.</w:t>
      </w:r>
      <w:r>
        <w:rPr>
          <w:rFonts w:ascii="Times New Roman" w:hAnsi="Times New Roman" w:cs="Times New Roman"/>
          <w:bCs/>
          <w:sz w:val="20"/>
          <w:szCs w:val="20"/>
        </w:rPr>
        <w:t xml:space="preserve"> </w:t>
      </w:r>
      <w:r>
        <w:rPr>
          <w:rFonts w:hint="eastAsia" w:ascii="Times New Roman" w:hAnsi="Times New Roman" w:cs="Times New Roman"/>
          <w:b/>
          <w:bCs w:val="0"/>
          <w:sz w:val="20"/>
          <w:szCs w:val="20"/>
        </w:rPr>
        <w:t xml:space="preserve">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r>
        <w:rPr>
          <w:rFonts w:hint="default" w:ascii="Times New Roman" w:hAnsi="Times New Roman" w:cs="Times New Roman"/>
          <w:b/>
          <w:bCs w:val="0"/>
          <w:sz w:val="20"/>
          <w:szCs w:val="20"/>
          <w:lang w:val="en-US"/>
        </w:rPr>
        <w:t xml:space="preserve"> for IoT NTN</w:t>
      </w:r>
      <w:r>
        <w:rPr>
          <w:rFonts w:hint="eastAsia" w:ascii="Times New Roman" w:hAnsi="Times New Roman" w:cs="Times New Roman"/>
          <w:b/>
          <w:bCs w:val="0"/>
          <w:sz w:val="20"/>
          <w:szCs w:val="20"/>
        </w:rPr>
        <w:t>.</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Furthermore, w</w:t>
      </w:r>
      <w:r>
        <w:rPr>
          <w:rFonts w:ascii="Times New Roman" w:hAnsi="Times New Roman" w:cs="Times New Roman"/>
          <w:bCs/>
          <w:iCs/>
          <w:sz w:val="20"/>
          <w:szCs w:val="20"/>
        </w:rPr>
        <w:t>e prefer to support different configuration on aggregation factor for HARQ process with/without feedback. N</w:t>
      </w:r>
      <w:r>
        <w:rPr>
          <w:rFonts w:hint="eastAsia" w:ascii="Times New Roman" w:hAnsi="Times New Roman" w:cs="Times New Roman"/>
          <w:bCs/>
          <w:iCs/>
          <w:sz w:val="20"/>
          <w:szCs w:val="20"/>
        </w:rPr>
        <w:t>ever</w:t>
      </w:r>
      <w:r>
        <w:rPr>
          <w:rFonts w:ascii="Times New Roman" w:hAnsi="Times New Roman" w:cs="Times New Roman"/>
          <w:bCs/>
          <w:iCs/>
          <w:sz w:val="20"/>
          <w:szCs w:val="20"/>
        </w:rPr>
        <w:t xml:space="preserve">theless, other parameters need more clarification. For example, </w:t>
      </w:r>
    </w:p>
    <w:p>
      <w:pPr>
        <w:pStyle w:val="112"/>
        <w:numPr>
          <w:ilvl w:val="0"/>
          <w:numId w:val="12"/>
        </w:numPr>
        <w:spacing w:before="120" w:after="120"/>
        <w:ind w:firstLineChars="0"/>
        <w:rPr>
          <w:rFonts w:cs="Times New Roman"/>
          <w:bCs/>
          <w:iCs/>
          <w:sz w:val="20"/>
          <w:szCs w:val="20"/>
        </w:rPr>
      </w:pPr>
      <w:r>
        <w:rPr>
          <w:rFonts w:cs="Times New Roman"/>
          <w:bCs/>
          <w:iCs/>
          <w:sz w:val="20"/>
          <w:szCs w:val="20"/>
        </w:rPr>
        <w:t>For block error rate target, it only depends on network implementation with no specification impact.</w:t>
      </w:r>
    </w:p>
    <w:p>
      <w:pPr>
        <w:pStyle w:val="112"/>
        <w:numPr>
          <w:ilvl w:val="0"/>
          <w:numId w:val="12"/>
        </w:numPr>
        <w:spacing w:before="120" w:after="120"/>
        <w:ind w:firstLineChars="0"/>
        <w:rPr>
          <w:rFonts w:cs="Times New Roman"/>
          <w:bCs/>
          <w:iCs/>
          <w:sz w:val="20"/>
          <w:szCs w:val="20"/>
        </w:rPr>
      </w:pPr>
      <w:r>
        <w:rPr>
          <w:rFonts w:cs="Times New Roman"/>
          <w:bCs/>
          <w:iCs/>
          <w:sz w:val="20"/>
          <w:szCs w:val="20"/>
        </w:rPr>
        <w:t>For MAC table, one MCS table may be sufficient, since network can schedule proper MCS value via DCI for HARQ process with/without feedback.</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ascii="Times New Roman" w:hAnsi="Times New Roman" w:cs="Times New Roman"/>
          <w:b/>
          <w:bCs w:val="0"/>
          <w:iCs/>
          <w:sz w:val="20"/>
          <w:szCs w:val="20"/>
        </w:rPr>
        <w:t>Support different configuration on aggregation factor for HARQ process with/without feedback.</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b/>
          <w:bCs/>
        </w:rPr>
      </w:pPr>
      <w:r>
        <w:rPr>
          <w:rFonts w:hint="default"/>
          <w:b/>
          <w:bCs/>
          <w:lang w:val="en-US"/>
        </w:rPr>
        <w:t xml:space="preserve">2.3 Issue-3: </w:t>
      </w:r>
      <w:r>
        <w:rPr>
          <w:b/>
          <w:bCs/>
        </w:rPr>
        <w:t>HARQ codebook enhancements</w:t>
      </w:r>
    </w:p>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bCs/>
          <w:iCs/>
          <w:sz w:val="20"/>
          <w:szCs w:val="20"/>
          <w:lang w:val="en-US"/>
        </w:rPr>
        <w:t>If disabling HARQ feedback mechanism is supported for IoT NTN</w:t>
      </w:r>
      <w:r>
        <w:rPr>
          <w:rFonts w:ascii="Times New Roman" w:hAnsi="Times New Roman" w:cs="Times New Roman"/>
          <w:bCs/>
          <w:iCs/>
          <w:sz w:val="20"/>
          <w:szCs w:val="20"/>
        </w:rPr>
        <w:t xml:space="preserve">, some enhancement mechanisms </w:t>
      </w:r>
      <w:r>
        <w:rPr>
          <w:rFonts w:hint="default" w:ascii="Times New Roman" w:hAnsi="Times New Roman" w:cs="Times New Roman"/>
          <w:bCs/>
          <w:iCs/>
          <w:sz w:val="20"/>
          <w:szCs w:val="20"/>
          <w:lang w:val="en-US"/>
        </w:rPr>
        <w:t xml:space="preserve">on HARQ codebook </w:t>
      </w:r>
      <w:r>
        <w:rPr>
          <w:rFonts w:ascii="Times New Roman" w:hAnsi="Times New Roman" w:cs="Times New Roman"/>
          <w:bCs/>
          <w:iCs/>
          <w:sz w:val="20"/>
          <w:szCs w:val="20"/>
        </w:rPr>
        <w:t>should be considered.</w:t>
      </w:r>
    </w:p>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sz w:val="20"/>
          <w:szCs w:val="20"/>
          <w:lang w:val="en-US"/>
        </w:rPr>
        <w:t>Discussion on the potential enhancements for HARQ codebook in NR NTN are conducted</w:t>
      </w:r>
      <w:r>
        <w:rPr>
          <w:rFonts w:hint="default" w:ascii="Times New Roman" w:hAnsi="Times New Roman" w:eastAsia="MS Gothic" w:cs="Times New Roman"/>
          <w:sz w:val="21"/>
          <w:szCs w:val="22"/>
          <w:lang w:val="en-US"/>
        </w:rPr>
        <w:t xml:space="preserve"> </w:t>
      </w:r>
      <w:r>
        <w:rPr>
          <w:rFonts w:hint="default" w:ascii="Times New Roman" w:hAnsi="Times New Roman" w:cs="Times New Roman"/>
          <w:bCs/>
          <w:iCs/>
          <w:sz w:val="20"/>
          <w:szCs w:val="20"/>
          <w:lang w:val="en-US"/>
        </w:rPr>
        <w:t>up to RAN1#108-e meeting,</w:t>
      </w:r>
      <w:r>
        <w:rPr>
          <w:rFonts w:hint="default" w:ascii="Times New Roman" w:hAnsi="Times New Roman" w:cs="Times New Roman"/>
          <w:sz w:val="20"/>
          <w:szCs w:val="20"/>
          <w:lang w:val="en-US"/>
        </w:rPr>
        <w:t xml:space="preserve"> and s</w:t>
      </w:r>
      <w:r>
        <w:rPr>
          <w:rFonts w:hint="eastAsia" w:ascii="Times New Roman" w:hAnsi="Times New Roman" w:cs="Times New Roman"/>
          <w:sz w:val="20"/>
          <w:szCs w:val="20"/>
        </w:rPr>
        <w:t>e</w:t>
      </w:r>
      <w:r>
        <w:rPr>
          <w:rFonts w:ascii="Times New Roman" w:hAnsi="Times New Roman" w:cs="Times New Roman"/>
          <w:sz w:val="20"/>
          <w:szCs w:val="20"/>
        </w:rPr>
        <w:t xml:space="preserve">veral agreements on </w:t>
      </w:r>
      <w:r>
        <w:rPr>
          <w:rFonts w:ascii="Times New Roman" w:hAnsi="Times New Roman" w:eastAsia="MS Gothic" w:cs="Times New Roman"/>
          <w:sz w:val="21"/>
          <w:szCs w:val="22"/>
        </w:rPr>
        <w:t xml:space="preserve">HARQ </w:t>
      </w:r>
      <w:r>
        <w:rPr>
          <w:rFonts w:hint="default" w:ascii="Times New Roman" w:hAnsi="Times New Roman" w:eastAsia="MS Gothic" w:cs="Times New Roman"/>
          <w:sz w:val="21"/>
          <w:szCs w:val="22"/>
          <w:lang w:val="en-US"/>
        </w:rPr>
        <w:t xml:space="preserve">codebook </w:t>
      </w:r>
      <w:r>
        <w:rPr>
          <w:rFonts w:ascii="Times New Roman" w:hAnsi="Times New Roman" w:eastAsia="MS Gothic" w:cs="Times New Roman"/>
          <w:sz w:val="21"/>
          <w:szCs w:val="22"/>
        </w:rPr>
        <w:t>enhancements</w:t>
      </w:r>
      <w:r>
        <w:rPr>
          <w:rFonts w:hint="default" w:ascii="Times New Roman" w:hAnsi="Times New Roman" w:eastAsia="MS Gothic" w:cs="Times New Roman"/>
          <w:sz w:val="21"/>
          <w:szCs w:val="22"/>
          <w:lang w:val="en-US"/>
        </w:rPr>
        <w:t xml:space="preserve"> </w:t>
      </w:r>
      <w:r>
        <w:rPr>
          <w:rFonts w:ascii="Times New Roman" w:hAnsi="Times New Roman" w:eastAsia="MS Gothic" w:cs="Times New Roman"/>
          <w:sz w:val="21"/>
          <w:szCs w:val="22"/>
        </w:rPr>
        <w:t>for NTN</w:t>
      </w:r>
      <w:r>
        <w:rPr>
          <w:rFonts w:hint="default" w:ascii="Times New Roman" w:hAnsi="Times New Roman" w:cs="Times New Roman"/>
          <w:bCs/>
          <w:iCs/>
          <w:sz w:val="20"/>
          <w:szCs w:val="20"/>
          <w:lang w:val="en-US"/>
        </w:rPr>
        <w:t xml:space="preserve"> </w:t>
      </w:r>
      <w:r>
        <w:rPr>
          <w:rFonts w:ascii="Times New Roman" w:hAnsi="Times New Roman" w:cs="Times New Roman"/>
          <w:sz w:val="20"/>
          <w:szCs w:val="20"/>
        </w:rPr>
        <w:t>were achieved</w:t>
      </w:r>
      <w:r>
        <w:rPr>
          <w:rFonts w:hint="default" w:ascii="Times New Roman" w:hAnsi="Times New Roman" w:cs="Times New Roman"/>
          <w:sz w:val="20"/>
          <w:szCs w:val="20"/>
          <w:lang w:val="en-US"/>
        </w:rPr>
        <w:t xml:space="preserve"> as follows [3].</w:t>
      </w:r>
    </w:p>
    <w:tbl>
      <w:tblPr>
        <w:tblStyle w:val="44"/>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9"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highlight w:val="none"/>
                <w:u w:val="single"/>
                <w:lang w:val="en-US" w:eastAsia="en-US"/>
              </w:rPr>
            </w:pPr>
            <w:r>
              <w:rPr>
                <w:rFonts w:hint="default" w:ascii="Times New Roman" w:hAnsi="Times New Roman" w:eastAsia="MS Mincho" w:cs="Times New Roman"/>
                <w:b/>
                <w:bCs/>
                <w:kern w:val="0"/>
                <w:sz w:val="20"/>
                <w:szCs w:val="20"/>
                <w:highlight w:val="none"/>
                <w:u w:val="single"/>
                <w:lang w:val="en-US" w:eastAsia="en-US"/>
              </w:rPr>
              <w:t>Type-1 HARQ codebook:</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rPr>
                <w:rFonts w:hint="eastAsia" w:ascii="Times New Roman" w:hAnsi="Times New Roman" w:eastAsia="MS Mincho" w:cs="Times New Roman"/>
                <w:b w:val="0"/>
                <w:bCs w:val="0"/>
                <w:kern w:val="0"/>
                <w:sz w:val="20"/>
                <w:szCs w:val="20"/>
                <w:lang w:eastAsia="en-US"/>
              </w:rPr>
            </w:pPr>
            <w:r>
              <w:rPr>
                <w:rFonts w:hint="eastAsia" w:ascii="Times New Roman" w:hAnsi="Times New Roman" w:eastAsia="MS Mincho" w:cs="Times New Roman"/>
                <w:b w:val="0"/>
                <w:bCs w:val="0"/>
                <w:kern w:val="0"/>
                <w:sz w:val="20"/>
                <w:szCs w:val="20"/>
                <w:lang w:eastAsia="en-US"/>
              </w:rPr>
              <w:t>For Type-1 HARQ codebook, the UE will consistently report NACK-only for the feedback-disabled HARQ process regardless of decoding results of corresponding PDSCH.</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bCs/>
                <w:kern w:val="0"/>
                <w:sz w:val="20"/>
                <w:szCs w:val="20"/>
                <w:highlight w:val="none"/>
                <w:u w:val="single"/>
                <w:lang w:val="en-US" w:eastAsia="en-US"/>
              </w:rPr>
              <w:t>Type-2 HARQ codebook:</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zh-CN"/>
              </w:rPr>
            </w:pPr>
            <w:r>
              <w:rPr>
                <w:rFonts w:hint="eastAsia" w:ascii="Times New Roman" w:hAnsi="Times New Roman" w:eastAsia="MS Mincho" w:cs="Times New Roman"/>
                <w:b/>
                <w:bCs/>
                <w:kern w:val="0"/>
                <w:sz w:val="20"/>
                <w:szCs w:val="20"/>
                <w:highlight w:val="green"/>
                <w:lang w:eastAsia="zh-CN"/>
              </w:rPr>
              <w:t>Agreement</w:t>
            </w:r>
          </w:p>
          <w:p>
            <w:pPr>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Type-2 HARQ codebook in NTN: Reduce codebook size with HARQ-ACK codebook only including HARQ-ACK of PDSCH with feedback-enabled HARQ processes</w:t>
            </w:r>
          </w:p>
          <w:p>
            <w:pPr>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FFS: The details of C-DAI and T-DAI counting for DCI of PDSCH with feedback-enable/disabled HARQ processes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zh-CN"/>
              </w:rPr>
            </w:pPr>
            <w:r>
              <w:rPr>
                <w:rFonts w:hint="eastAsia" w:ascii="Times New Roman" w:hAnsi="Times New Roman" w:eastAsia="MS Mincho" w:cs="Times New Roman"/>
                <w:b/>
                <w:bCs/>
                <w:kern w:val="0"/>
                <w:sz w:val="20"/>
                <w:szCs w:val="20"/>
                <w:highlight w:val="green"/>
                <w:lang w:eastAsia="zh-CN"/>
              </w:rPr>
              <w:t>Agreement</w:t>
            </w:r>
          </w:p>
          <w:p>
            <w:pPr>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the DCI of PDSCH with feedback-disabled HARQ processes, only one of following is supported for Type-2 codebook:</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Option-1: The C-DAI and T-DAI are the count of feedback-enabled processes, despite they are not incremented, and are taken into account by the UE for type 2 codebook generation.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Option-2: The C-DAI and T-DAI are ignored by the UE regardless of the value for Type 2 codebook generation.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highlight w:val="none"/>
                <w:u w:val="single"/>
                <w:lang w:val="en-US" w:eastAsia="en-US"/>
              </w:rPr>
            </w:pPr>
            <w:r>
              <w:rPr>
                <w:rFonts w:hint="default" w:ascii="Times New Roman" w:hAnsi="Times New Roman" w:eastAsia="MS Mincho" w:cs="Times New Roman"/>
                <w:b/>
                <w:bCs/>
                <w:kern w:val="0"/>
                <w:sz w:val="20"/>
                <w:szCs w:val="20"/>
                <w:highlight w:val="none"/>
                <w:u w:val="single"/>
                <w:lang w:val="en-US" w:eastAsia="en-US"/>
              </w:rPr>
              <w:t>Type-3 HARQ codebook:</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zh-CN"/>
              </w:rPr>
            </w:pPr>
            <w:r>
              <w:rPr>
                <w:rFonts w:hint="eastAsia" w:ascii="Times New Roman" w:hAnsi="Times New Roman" w:eastAsia="MS Mincho" w:cs="Times New Roman"/>
                <w:b/>
                <w:bCs/>
                <w:kern w:val="0"/>
                <w:sz w:val="20"/>
                <w:szCs w:val="20"/>
                <w:highlight w:val="green"/>
                <w:lang w:eastAsia="zh-CN"/>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Type-3 HARQ codebook in NTN, the UE should skip the codebook feedback for a feedback-disabled HARQ processes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val="en-US" w:eastAsia="en-US"/>
              </w:rPr>
            </w:pPr>
            <w:r>
              <w:rPr>
                <w:rFonts w:hint="eastAsia" w:ascii="Times New Roman" w:hAnsi="Times New Roman" w:eastAsia="MS Mincho" w:cs="Times New Roman"/>
                <w:b w:val="0"/>
                <w:bCs w:val="0"/>
                <w:kern w:val="0"/>
                <w:sz w:val="20"/>
                <w:szCs w:val="20"/>
                <w:lang w:eastAsia="zh-CN"/>
              </w:rPr>
              <w:t>Note: The Type-3 codebook size is reduced by excluding the bit positions of disabled HARQ processes</w:t>
            </w:r>
          </w:p>
        </w:tc>
      </w:tr>
    </w:tbl>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From our understanding, t</w:t>
      </w:r>
      <w:r>
        <w:rPr>
          <w:rFonts w:ascii="Times New Roman" w:hAnsi="Times New Roman" w:cs="Times New Roman"/>
          <w:bCs/>
          <w:iCs/>
          <w:sz w:val="20"/>
          <w:szCs w:val="20"/>
        </w:rPr>
        <w:t xml:space="preserve">he </w:t>
      </w:r>
      <w:r>
        <w:rPr>
          <w:rFonts w:hint="default" w:ascii="Times New Roman" w:hAnsi="Times New Roman" w:cs="Times New Roman"/>
          <w:bCs/>
          <w:iCs/>
          <w:sz w:val="20"/>
          <w:szCs w:val="20"/>
          <w:lang w:val="en-US"/>
        </w:rPr>
        <w:t xml:space="preserve">codebook enhancement mechanisms of </w:t>
      </w:r>
      <w:r>
        <w:rPr>
          <w:rFonts w:hint="eastAsia" w:ascii="Times New Roman" w:hAnsi="Times New Roman" w:eastAsia="MS Mincho" w:cs="Times New Roman"/>
          <w:b w:val="0"/>
          <w:bCs w:val="0"/>
          <w:kern w:val="0"/>
          <w:sz w:val="20"/>
          <w:szCs w:val="20"/>
          <w:lang w:eastAsia="en-US"/>
        </w:rPr>
        <w:t>feedback-disabled HARQ process</w:t>
      </w:r>
      <w:r>
        <w:rPr>
          <w:rFonts w:ascii="Times New Roman" w:hAnsi="Times New Roman" w:cs="Times New Roman"/>
          <w:bCs/>
          <w:iCs/>
          <w:sz w:val="20"/>
          <w:szCs w:val="20"/>
        </w:rPr>
        <w:t xml:space="preserve"> for IoT NTN can re</w:t>
      </w:r>
      <w:r>
        <w:rPr>
          <w:rFonts w:hint="default" w:ascii="Times New Roman" w:hAnsi="Times New Roman" w:cs="Times New Roman"/>
          <w:bCs/>
          <w:iCs/>
          <w:sz w:val="20"/>
          <w:szCs w:val="20"/>
          <w:lang w:val="en-US"/>
        </w:rPr>
        <w:t>fer to</w:t>
      </w:r>
      <w:r>
        <w:rPr>
          <w:rFonts w:ascii="Times New Roman" w:hAnsi="Times New Roman" w:cs="Times New Roman"/>
          <w:bCs/>
          <w:iCs/>
          <w:sz w:val="20"/>
          <w:szCs w:val="20"/>
        </w:rPr>
        <w:t xml:space="preserve"> the </w:t>
      </w:r>
      <w:r>
        <w:rPr>
          <w:rFonts w:hint="default" w:ascii="Times New Roman" w:hAnsi="Times New Roman" w:cs="Times New Roman"/>
          <w:bCs/>
          <w:iCs/>
          <w:sz w:val="20"/>
          <w:szCs w:val="20"/>
          <w:lang w:val="en-US"/>
        </w:rPr>
        <w:t>codebook enhancement method</w:t>
      </w:r>
      <w:r>
        <w:rPr>
          <w:rFonts w:ascii="Times New Roman" w:hAnsi="Times New Roman" w:cs="Times New Roman"/>
          <w:bCs/>
          <w:iCs/>
          <w:sz w:val="20"/>
          <w:szCs w:val="20"/>
        </w:rPr>
        <w:t xml:space="preserve"> of NTN.</w:t>
      </w:r>
    </w:p>
    <w:p>
      <w:pPr>
        <w:spacing w:before="120" w:beforeLines="50" w:after="120" w:afterLines="50"/>
        <w:rPr>
          <w:rFonts w:hint="eastAsia" w:ascii="Times New Roman" w:hAnsi="Times New Roman" w:eastAsia="MS Mincho" w:cs="Times New Roman"/>
          <w:b w:val="0"/>
          <w:bCs w:val="0"/>
          <w:kern w:val="0"/>
          <w:sz w:val="20"/>
          <w:szCs w:val="20"/>
          <w:lang w:eastAsia="en-US"/>
        </w:rPr>
      </w:pPr>
      <w:r>
        <w:rPr>
          <w:rFonts w:hint="default" w:ascii="Times New Roman" w:hAnsi="Times New Roman" w:eastAsia="MS Mincho" w:cs="Times New Roman"/>
          <w:b w:val="0"/>
          <w:bCs w:val="0"/>
          <w:kern w:val="0"/>
          <w:sz w:val="20"/>
          <w:szCs w:val="20"/>
          <w:lang w:val="en-US" w:eastAsia="en-US"/>
        </w:rPr>
        <w:t>For HARQ codebook in</w:t>
      </w:r>
      <w:r>
        <w:rPr>
          <w:rFonts w:hint="default" w:ascii="Times New Roman" w:hAnsi="Times New Roman" w:eastAsia="MS Mincho" w:cs="Times New Roman"/>
          <w:kern w:val="0"/>
          <w:sz w:val="20"/>
          <w:szCs w:val="20"/>
          <w:lang w:eastAsia="en-US"/>
        </w:rPr>
        <w:t xml:space="preserve"> NB-IoT over NTN</w:t>
      </w:r>
      <w:r>
        <w:rPr>
          <w:rFonts w:hint="default" w:ascii="Times New Roman" w:hAnsi="Times New Roman" w:eastAsia="MS Mincho" w:cs="Times New Roman"/>
          <w:kern w:val="0"/>
          <w:sz w:val="20"/>
          <w:szCs w:val="20"/>
          <w:lang w:val="en-US" w:eastAsia="en-US"/>
        </w:rPr>
        <w:t xml:space="preserve"> and </w:t>
      </w:r>
      <w:r>
        <w:rPr>
          <w:rFonts w:hint="default" w:ascii="Times New Roman" w:hAnsi="Times New Roman" w:eastAsia="MS Mincho" w:cs="Times New Roman"/>
          <w:b w:val="0"/>
          <w:bCs w:val="0"/>
          <w:kern w:val="0"/>
          <w:sz w:val="20"/>
          <w:szCs w:val="20"/>
          <w:lang w:val="en-US" w:eastAsia="en-US"/>
        </w:rPr>
        <w:t xml:space="preserve">semi-persistent HARQ codebook in eMTC over NTN, </w:t>
      </w:r>
      <w:r>
        <w:rPr>
          <w:rFonts w:hint="eastAsia" w:ascii="Times New Roman" w:hAnsi="Times New Roman" w:eastAsia="MS Mincho" w:cs="Times New Roman"/>
          <w:b w:val="0"/>
          <w:bCs w:val="0"/>
          <w:kern w:val="0"/>
          <w:sz w:val="20"/>
          <w:szCs w:val="20"/>
          <w:lang w:eastAsia="en-US"/>
        </w:rPr>
        <w:t xml:space="preserve">the UE </w:t>
      </w:r>
      <w:r>
        <w:rPr>
          <w:rFonts w:hint="default" w:ascii="Times New Roman" w:hAnsi="Times New Roman" w:eastAsia="MS Mincho" w:cs="Times New Roman"/>
          <w:b w:val="0"/>
          <w:bCs w:val="0"/>
          <w:kern w:val="0"/>
          <w:sz w:val="20"/>
          <w:szCs w:val="20"/>
          <w:lang w:val="en-US" w:eastAsia="en-US"/>
        </w:rPr>
        <w:t>can</w:t>
      </w:r>
      <w:r>
        <w:rPr>
          <w:rFonts w:hint="eastAsia" w:ascii="Times New Roman" w:hAnsi="Times New Roman" w:eastAsia="MS Mincho" w:cs="Times New Roman"/>
          <w:b w:val="0"/>
          <w:bCs w:val="0"/>
          <w:kern w:val="0"/>
          <w:sz w:val="20"/>
          <w:szCs w:val="20"/>
          <w:lang w:eastAsia="en-US"/>
        </w:rPr>
        <w:t xml:space="preserve"> consistently report NACK-only for the feedback-disabled HARQ process regardless of decoding results of corresponding PDSCH.</w:t>
      </w:r>
    </w:p>
    <w:p>
      <w:pPr>
        <w:spacing w:before="120" w:beforeLines="50" w:after="120" w:afterLines="50"/>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r>
        <w:rPr>
          <w:rFonts w:hint="default" w:ascii="Times New Roman" w:hAnsi="Times New Roman" w:eastAsia="MS Mincho" w:cs="Times New Roman"/>
          <w:b/>
          <w:bCs/>
          <w:kern w:val="0"/>
          <w:sz w:val="20"/>
          <w:szCs w:val="20"/>
          <w:lang w:val="en-US" w:eastAsia="en-US"/>
        </w:rPr>
        <w:t>For HARQ codebook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consistently report NACK-only for the feedback-disabled HARQ process regardless of decoding results of corresponding PDSCH.</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eastAsia="MS Mincho" w:cs="Times New Roman"/>
          <w:b/>
          <w:bCs/>
          <w:kern w:val="0"/>
          <w:sz w:val="20"/>
          <w:szCs w:val="20"/>
          <w:lang w:val="en-US" w:eastAsia="en-US"/>
        </w:rPr>
        <w:t xml:space="preserve">Proposal 6. For semi-persistent HARQ codebook in eMTC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consistently report NACK-only for the feedback-disabled HARQ process regardless of decoding results of corresponding PDSCH.</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eastAsia="MS Mincho" w:cs="Times New Roman"/>
          <w:kern w:val="0"/>
          <w:sz w:val="20"/>
          <w:szCs w:val="20"/>
          <w:lang w:val="en-US" w:eastAsia="en-US"/>
        </w:rPr>
        <w:t>Besides, for UEs</w:t>
      </w:r>
      <w:r>
        <w:rPr>
          <w:rFonts w:hint="eastAsia"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i/>
          <w:iCs/>
          <w:kern w:val="0"/>
          <w:sz w:val="20"/>
          <w:szCs w:val="20"/>
          <w:lang w:eastAsia="en-US"/>
        </w:rPr>
        <w:t>configured by higher layers with codebooksizeDetermination-r13 = da</w:t>
      </w:r>
      <w:r>
        <w:rPr>
          <w:rFonts w:hint="default" w:ascii="Times New Roman" w:hAnsi="Times New Roman" w:eastAsia="MS Mincho" w:cs="Times New Roman"/>
          <w:i/>
          <w:iCs/>
          <w:kern w:val="0"/>
          <w:sz w:val="20"/>
          <w:szCs w:val="20"/>
          <w:lang w:val="en-US" w:eastAsia="en-US"/>
        </w:rPr>
        <w:t xml:space="preserve">i </w:t>
      </w:r>
      <w:r>
        <w:rPr>
          <w:rFonts w:hint="default" w:ascii="Times New Roman" w:hAnsi="Times New Roman" w:eastAsia="MS Mincho" w:cs="Times New Roman"/>
          <w:b w:val="0"/>
          <w:bCs w:val="0"/>
          <w:kern w:val="0"/>
          <w:sz w:val="20"/>
          <w:szCs w:val="20"/>
          <w:lang w:val="en-US" w:eastAsia="en-US"/>
        </w:rPr>
        <w:t>in</w:t>
      </w:r>
      <w:r>
        <w:rPr>
          <w:rFonts w:hint="default" w:ascii="Times New Roman" w:hAnsi="Times New Roman" w:eastAsia="MS Mincho" w:cs="Times New Roman"/>
          <w:kern w:val="0"/>
          <w:sz w:val="20"/>
          <w:szCs w:val="20"/>
          <w:lang w:eastAsia="en-US"/>
        </w:rPr>
        <w:t xml:space="preserve"> </w:t>
      </w:r>
      <w:r>
        <w:rPr>
          <w:rFonts w:hint="default" w:ascii="Times New Roman" w:hAnsi="Times New Roman" w:eastAsia="MS Mincho" w:cs="Times New Roman"/>
          <w:kern w:val="0"/>
          <w:sz w:val="20"/>
          <w:szCs w:val="20"/>
          <w:lang w:val="en-US" w:eastAsia="en-US"/>
        </w:rPr>
        <w:t>eMTC</w:t>
      </w:r>
      <w:r>
        <w:rPr>
          <w:rFonts w:hint="default" w:ascii="Times New Roman" w:hAnsi="Times New Roman" w:eastAsia="MS Mincho" w:cs="Times New Roman"/>
          <w:kern w:val="0"/>
          <w:sz w:val="20"/>
          <w:szCs w:val="20"/>
          <w:lang w:eastAsia="en-US"/>
        </w:rPr>
        <w:t xml:space="preserve"> over NTN</w:t>
      </w:r>
      <w:r>
        <w:rPr>
          <w:rFonts w:hint="default" w:ascii="Times New Roman" w:hAnsi="Times New Roman" w:eastAsia="MS Mincho" w:cs="Times New Roman"/>
          <w:kern w:val="0"/>
          <w:sz w:val="20"/>
          <w:szCs w:val="20"/>
          <w:lang w:val="en-US" w:eastAsia="en-US"/>
        </w:rPr>
        <w:t xml:space="preserve">, </w:t>
      </w:r>
      <w:r>
        <w:rPr>
          <w:rFonts w:hint="default" w:ascii="Times New Roman" w:hAnsi="Times New Roman" w:cs="Times New Roman"/>
          <w:bCs/>
          <w:iCs/>
          <w:sz w:val="20"/>
          <w:szCs w:val="20"/>
          <w:lang w:val="en-US"/>
        </w:rPr>
        <w:t>similar to Type-2 HARQ codebook enhancement in NR NTN, the details of C-DAI and T-DAI counting for DCI with feedback-enable/disabled HARQ processes should be further discussed.</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w:t>
      </w:r>
      <w:r>
        <w:rPr>
          <w:rFonts w:ascii="Times New Roman" w:hAnsi="Times New Roman" w:cs="Times New Roman"/>
          <w:bCs/>
          <w:iCs/>
          <w:sz w:val="20"/>
          <w:szCs w:val="20"/>
        </w:rPr>
        <w:t xml:space="preserve">s discussed in our company’s </w:t>
      </w:r>
      <w:r>
        <w:rPr>
          <w:rFonts w:hint="default" w:ascii="Times New Roman" w:hAnsi="Times New Roman" w:cs="Times New Roman"/>
          <w:bCs/>
          <w:iCs/>
          <w:sz w:val="20"/>
          <w:szCs w:val="20"/>
          <w:lang w:val="en-US"/>
        </w:rPr>
        <w:t xml:space="preserve">previous </w:t>
      </w:r>
      <w:r>
        <w:rPr>
          <w:rFonts w:ascii="Times New Roman" w:hAnsi="Times New Roman" w:cs="Times New Roman"/>
          <w:bCs/>
          <w:iCs/>
          <w:sz w:val="20"/>
          <w:szCs w:val="20"/>
        </w:rPr>
        <w:t>contribution in NTN</w:t>
      </w:r>
      <w:r>
        <w:rPr>
          <w:rFonts w:hint="default" w:ascii="Times New Roman" w:hAnsi="Times New Roman" w:cs="Times New Roman"/>
          <w:bCs/>
          <w:iCs/>
          <w:sz w:val="20"/>
          <w:szCs w:val="20"/>
          <w:lang w:val="en-US"/>
        </w:rPr>
        <w:t>, w</w:t>
      </w:r>
      <w:r>
        <w:rPr>
          <w:rFonts w:ascii="Times New Roman" w:hAnsi="Times New Roman" w:cs="Times New Roman"/>
          <w:bCs/>
          <w:iCs/>
          <w:sz w:val="20"/>
          <w:szCs w:val="20"/>
        </w:rPr>
        <w:t xml:space="preserve">e support Option 1 of the above </w:t>
      </w:r>
      <w:r>
        <w:rPr>
          <w:rFonts w:hint="default" w:ascii="Times New Roman" w:hAnsi="Times New Roman" w:cs="Times New Roman"/>
          <w:bCs/>
          <w:iCs/>
          <w:sz w:val="20"/>
          <w:szCs w:val="20"/>
          <w:lang w:val="en-US"/>
        </w:rPr>
        <w:t xml:space="preserve">conclusion of Type-2 codebook enhancement for NR NTN </w:t>
      </w:r>
      <w:r>
        <w:rPr>
          <w:rFonts w:ascii="Times New Roman" w:hAnsi="Times New Roman" w:cs="Times New Roman"/>
          <w:bCs/>
          <w:iCs/>
          <w:sz w:val="20"/>
          <w:szCs w:val="20"/>
        </w:rPr>
        <w:t xml:space="preserve">to relieve the last DCI missing issue.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Regarding in the bellowing cases, </w:t>
      </w:r>
      <w:r>
        <w:rPr>
          <w:rFonts w:hint="default" w:ascii="Times New Roman" w:hAnsi="Times New Roman" w:cs="Times New Roman"/>
          <w:bCs/>
          <w:iCs/>
          <w:sz w:val="20"/>
          <w:szCs w:val="20"/>
          <w:lang w:val="en-US"/>
        </w:rPr>
        <w:t>network</w:t>
      </w:r>
      <w:r>
        <w:rPr>
          <w:rFonts w:ascii="Times New Roman" w:hAnsi="Times New Roman" w:cs="Times New Roman"/>
          <w:bCs/>
          <w:iCs/>
          <w:sz w:val="20"/>
          <w:szCs w:val="20"/>
        </w:rPr>
        <w:t xml:space="preserve"> may expect different HARQ-ACK feedback behavior, while the UE cannot distinguish.</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default" w:ascii="Times New Roman" w:hAnsi="Times New Roman" w:cs="Times New Roman" w:eastAsiaTheme="minorEastAsia"/>
          <w:bCs/>
          <w:iCs/>
          <w:sz w:val="20"/>
          <w:szCs w:val="20"/>
        </w:rPr>
        <w:t xml:space="preserve">Case 1: </w:t>
      </w:r>
      <w:r>
        <w:rPr>
          <w:rFonts w:hint="default" w:ascii="Times New Roman" w:hAnsi="Times New Roman" w:cs="Times New Roman"/>
          <w:bCs/>
          <w:iCs/>
          <w:sz w:val="20"/>
          <w:szCs w:val="20"/>
        </w:rPr>
        <w:t>the first DCI is with feedback-enabled HARQ process and other DCIs are with feedback-disabled HARQ processes, and the first DCI is missing detected;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default" w:ascii="Times New Roman" w:hAnsi="Times New Roman" w:cs="Times New Roman" w:eastAsiaTheme="minorEastAsia"/>
          <w:bCs/>
          <w:iCs/>
          <w:sz w:val="20"/>
          <w:szCs w:val="20"/>
        </w:rPr>
        <w:t xml:space="preserve">Case 2: all </w:t>
      </w:r>
      <w:r>
        <w:rPr>
          <w:rFonts w:hint="default" w:ascii="Times New Roman" w:hAnsi="Times New Roman" w:cs="Times New Roman"/>
          <w:bCs/>
          <w:iCs/>
          <w:sz w:val="20"/>
          <w:szCs w:val="20"/>
        </w:rPr>
        <w:t>DCIs are with feedback-disabled HARQ processes.</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ascii="Times New Roman" w:hAnsi="Times New Roman" w:cs="Times New Roman"/>
          <w:bCs/>
          <w:iCs/>
          <w:sz w:val="20"/>
          <w:szCs w:val="20"/>
          <w:lang w:val="en-US"/>
        </w:rPr>
      </w:pPr>
      <w:r>
        <w:rPr>
          <w:rFonts w:ascii="Times New Roman" w:hAnsi="Times New Roman" w:cs="Times New Roman"/>
          <w:bCs/>
          <w:iCs/>
          <w:sz w:val="20"/>
          <w:szCs w:val="20"/>
        </w:rPr>
        <w:t xml:space="preserve">To achieve the same understanding between </w:t>
      </w:r>
      <w:r>
        <w:rPr>
          <w:rFonts w:hint="default" w:ascii="Times New Roman" w:hAnsi="Times New Roman" w:cs="Times New Roman"/>
          <w:bCs/>
          <w:iCs/>
          <w:sz w:val="20"/>
          <w:szCs w:val="20"/>
          <w:lang w:val="en-US"/>
        </w:rPr>
        <w:t>network</w:t>
      </w:r>
      <w:r>
        <w:rPr>
          <w:rFonts w:ascii="Times New Roman" w:hAnsi="Times New Roman" w:cs="Times New Roman"/>
          <w:bCs/>
          <w:iCs/>
          <w:sz w:val="20"/>
          <w:szCs w:val="20"/>
        </w:rPr>
        <w:t xml:space="preserve"> and UE on codebook size</w:t>
      </w:r>
      <w:r>
        <w:rPr>
          <w:rFonts w:hint="default" w:ascii="Times New Roman" w:hAnsi="Times New Roman" w:cs="Times New Roman"/>
          <w:bCs/>
          <w:iCs/>
          <w:sz w:val="20"/>
          <w:szCs w:val="20"/>
          <w:lang w:val="en-US"/>
        </w:rPr>
        <w:t xml:space="preserve"> based on the value of DAI</w:t>
      </w:r>
      <w:r>
        <w:rPr>
          <w:rFonts w:ascii="Times New Roman" w:hAnsi="Times New Roman" w:cs="Times New Roman"/>
          <w:bCs/>
          <w:iCs/>
          <w:sz w:val="20"/>
          <w:szCs w:val="20"/>
        </w:rPr>
        <w:t>, Option 1 is fine to us.</w:t>
      </w:r>
      <w:r>
        <w:rPr>
          <w:rFonts w:hint="default" w:ascii="Times New Roman" w:hAnsi="Times New Roman" w:cs="Times New Roman"/>
          <w:bCs/>
          <w:iCs/>
          <w:sz w:val="20"/>
          <w:szCs w:val="20"/>
          <w:lang w:val="en-US"/>
        </w:rPr>
        <w:t xml:space="preserve"> </w:t>
      </w:r>
    </w:p>
    <w:p>
      <w:pPr>
        <w:snapToGrid w:val="0"/>
        <w:rPr>
          <w:rFonts w:hint="default" w:ascii="Times New Roman" w:hAnsi="Times New Roman" w:cs="Times New Roman"/>
          <w:b/>
          <w:bCs/>
          <w:i w:val="0"/>
          <w:iCs/>
          <w:sz w:val="20"/>
          <w:szCs w:val="20"/>
          <w:u w:val="none"/>
          <w:lang w:val="en-US"/>
        </w:rPr>
      </w:pPr>
      <w:r>
        <w:rPr>
          <w:rFonts w:hint="default" w:ascii="Times New Roman" w:hAnsi="Times New Roman" w:cs="Times New Roman"/>
          <w:b/>
          <w:bCs w:val="0"/>
          <w:i w:val="0"/>
          <w:iCs/>
          <w:sz w:val="20"/>
          <w:szCs w:val="20"/>
          <w:u w:val="none"/>
          <w:lang w:val="en-US"/>
        </w:rPr>
        <w:t xml:space="preserve">Proposal 7. For HARQ codebook depending on the DAI </w:t>
      </w:r>
      <w:r>
        <w:rPr>
          <w:rFonts w:hint="default" w:ascii="Times New Roman" w:hAnsi="Times New Roman" w:eastAsia="MS Mincho" w:cs="Times New Roman"/>
          <w:b/>
          <w:bCs/>
          <w:kern w:val="0"/>
          <w:sz w:val="20"/>
          <w:szCs w:val="20"/>
          <w:lang w:val="en-US" w:eastAsia="en-US"/>
        </w:rPr>
        <w:t xml:space="preserve">for eMTC over NTN, </w:t>
      </w:r>
      <w:r>
        <w:rPr>
          <w:rFonts w:hint="default" w:ascii="Times New Roman" w:hAnsi="Times New Roman" w:eastAsia="MS Mincho" w:cs="Times New Roman"/>
          <w:b/>
          <w:bCs/>
          <w:kern w:val="0"/>
          <w:sz w:val="20"/>
          <w:szCs w:val="20"/>
          <w:lang w:val="en-US" w:eastAsia="zh-CN"/>
        </w:rPr>
        <w:t>t</w:t>
      </w:r>
      <w:r>
        <w:rPr>
          <w:rFonts w:hint="eastAsia" w:ascii="Times New Roman" w:hAnsi="Times New Roman" w:eastAsia="MS Mincho" w:cs="Times New Roman"/>
          <w:b/>
          <w:bCs/>
          <w:kern w:val="0"/>
          <w:sz w:val="20"/>
          <w:szCs w:val="20"/>
          <w:lang w:eastAsia="zh-CN"/>
        </w:rPr>
        <w:t>he C-DAI and T-DAI are the count of feedback-enabled processes</w:t>
      </w:r>
      <w:r>
        <w:rPr>
          <w:rFonts w:hint="default" w:ascii="Times New Roman" w:hAnsi="Times New Roman" w:eastAsia="MS Mincho" w:cs="Times New Roman"/>
          <w:b/>
          <w:bCs/>
          <w:kern w:val="0"/>
          <w:sz w:val="20"/>
          <w:szCs w:val="20"/>
          <w:lang w:val="en-US" w:eastAsia="zh-CN"/>
        </w:rPr>
        <w:t>.</w:t>
      </w:r>
    </w:p>
    <w:bookmarkEnd w:id="5"/>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rPr>
      </w:pPr>
      <w:r>
        <w:rPr>
          <w:rFonts w:ascii="Times New Roman" w:hAnsi="Times New Roman" w:cs="Times New Roma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on 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 enhancement on the </w:t>
      </w:r>
      <w:r>
        <w:rPr>
          <w:rFonts w:hint="default" w:ascii="Times New Roman" w:hAnsi="Times New Roman" w:cs="Times New Roman"/>
          <w:bCs/>
          <w:iCs/>
          <w:sz w:val="20"/>
          <w:szCs w:val="20"/>
          <w:lang w:val="en-US"/>
        </w:rPr>
        <w:t>HARQ process</w:t>
      </w:r>
      <w:r>
        <w:rPr>
          <w:rFonts w:ascii="Times New Roman" w:hAnsi="Times New Roman" w:cs="Times New Roman"/>
          <w:bCs/>
          <w:iCs/>
          <w:sz w:val="20"/>
          <w:szCs w:val="20"/>
        </w:rPr>
        <w:t>, and some other issues</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Proposal 1. The disabling of HARQ feedback should be supported for IoT NTN.</w:t>
      </w:r>
    </w:p>
    <w:p>
      <w:pPr>
        <w:spacing w:before="120" w:beforeLines="50" w:after="120" w:afterLines="50"/>
        <w:rPr>
          <w:rFonts w:ascii="Times New Roman" w:hAnsi="Times New Roman" w:cs="Times New Roman"/>
          <w:b/>
          <w:bCs/>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2.</w:t>
      </w:r>
      <w:r>
        <w:rPr>
          <w:rFonts w:ascii="Times New Roman" w:hAnsi="Times New Roman" w:cs="Times New Roman"/>
          <w:bCs/>
          <w:sz w:val="20"/>
          <w:szCs w:val="20"/>
        </w:rPr>
        <w:t xml:space="preserve"> </w:t>
      </w:r>
      <w:r>
        <w:rPr>
          <w:rFonts w:ascii="Times New Roman" w:hAnsi="Times New Roman" w:cs="Times New Roman"/>
          <w:b/>
          <w:bCs/>
          <w:sz w:val="20"/>
          <w:szCs w:val="20"/>
        </w:rPr>
        <w:t>The impact of disabling HARQ feedback on power consumption, as well as whether reliability reduction is acceptable in IoT NTN, needs further study.</w:t>
      </w:r>
    </w:p>
    <w:p>
      <w:pPr>
        <w:spacing w:before="120" w:beforeLines="50" w:after="120" w:afterLines="50"/>
        <w:rPr>
          <w:rFonts w:hint="default" w:ascii="Times New Roman" w:hAnsi="Times New Roman" w:cs="Times New Roman"/>
          <w:b/>
          <w:bCs w:val="0"/>
          <w:iCs/>
          <w:sz w:val="20"/>
          <w:szCs w:val="20"/>
          <w:highlight w:val="none"/>
          <w:lang w:val="en-US"/>
        </w:rPr>
      </w:pPr>
      <w:r>
        <w:rPr>
          <w:rFonts w:ascii="Times New Roman" w:hAnsi="Times New Roman" w:cs="Times New Roman"/>
          <w:b/>
          <w:i w:val="0"/>
          <w:iCs/>
          <w:sz w:val="20"/>
          <w:szCs w:val="20"/>
          <w:u w:val="none"/>
        </w:rPr>
        <w:t>Proposal</w:t>
      </w:r>
      <w:r>
        <w:rPr>
          <w:rFonts w:hint="default" w:ascii="Times New Roman" w:hAnsi="Times New Roman" w:cs="Times New Roman"/>
          <w:b/>
          <w:i w:val="0"/>
          <w:iCs/>
          <w:sz w:val="20"/>
          <w:szCs w:val="20"/>
          <w:u w:val="none"/>
          <w:lang w:val="en-US"/>
        </w:rPr>
        <w:t xml:space="preserve"> 3.</w:t>
      </w:r>
      <w:r>
        <w:rPr>
          <w:rFonts w:ascii="Times New Roman" w:hAnsi="Times New Roman" w:cs="Times New Roman"/>
          <w:bCs/>
          <w:sz w:val="20"/>
          <w:szCs w:val="20"/>
        </w:rPr>
        <w:t xml:space="preserve"> </w:t>
      </w:r>
      <w:r>
        <w:rPr>
          <w:rFonts w:hint="eastAsia" w:ascii="Times New Roman" w:hAnsi="Times New Roman" w:cs="Times New Roman"/>
          <w:b/>
          <w:bCs w:val="0"/>
          <w:sz w:val="20"/>
          <w:szCs w:val="20"/>
        </w:rPr>
        <w:t xml:space="preserve">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r>
        <w:rPr>
          <w:rFonts w:hint="default" w:ascii="Times New Roman" w:hAnsi="Times New Roman" w:cs="Times New Roman"/>
          <w:b/>
          <w:bCs w:val="0"/>
          <w:sz w:val="20"/>
          <w:szCs w:val="20"/>
          <w:lang w:val="en-US"/>
        </w:rPr>
        <w:t xml:space="preserve"> for IoT NTN</w:t>
      </w:r>
      <w:r>
        <w:rPr>
          <w:rFonts w:hint="eastAsia" w:ascii="Times New Roman" w:hAnsi="Times New Roman" w:cs="Times New Roman"/>
          <w:b/>
          <w:bCs w:val="0"/>
          <w:sz w:val="20"/>
          <w:szCs w:val="20"/>
        </w:rPr>
        <w:t>.</w:t>
      </w:r>
    </w:p>
    <w:p>
      <w:pPr>
        <w:spacing w:before="120" w:beforeLines="50" w:after="120" w:afterLines="50"/>
        <w:rPr>
          <w:rFonts w:ascii="Times New Roman" w:hAnsi="Times New Roman" w:cs="Times New Roman"/>
          <w:b/>
          <w:bCs w:val="0"/>
          <w:iCs/>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ascii="Times New Roman" w:hAnsi="Times New Roman" w:cs="Times New Roman"/>
          <w:b/>
          <w:bCs w:val="0"/>
          <w:iCs/>
          <w:sz w:val="20"/>
          <w:szCs w:val="20"/>
        </w:rPr>
        <w:t>Support different configuration on aggregation factor for HARQ process with/without feedback.</w:t>
      </w:r>
    </w:p>
    <w:p>
      <w:pPr>
        <w:spacing w:before="120" w:beforeLines="50" w:after="120" w:afterLines="50"/>
        <w:jc w:val="both"/>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bookmarkStart w:id="20" w:name="_GoBack"/>
      <w:bookmarkEnd w:id="20"/>
      <w:r>
        <w:rPr>
          <w:rFonts w:hint="default" w:ascii="Times New Roman" w:hAnsi="Times New Roman" w:eastAsia="MS Mincho" w:cs="Times New Roman"/>
          <w:b/>
          <w:bCs/>
          <w:kern w:val="0"/>
          <w:sz w:val="20"/>
          <w:szCs w:val="20"/>
          <w:lang w:val="en-US" w:eastAsia="en-US"/>
        </w:rPr>
        <w:t>For HARQ codebook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consistently report NACK-only for the feedback-disabled HARQ process regardless of decoding results of corresponding PDSCH.</w:t>
      </w:r>
    </w:p>
    <w:p>
      <w:pPr>
        <w:snapToGrid/>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eastAsiaTheme="minorEastAsia"/>
          <w:b/>
          <w:bCs w:val="0"/>
          <w:iCs/>
          <w:kern w:val="2"/>
          <w:sz w:val="20"/>
          <w:szCs w:val="20"/>
          <w:lang w:val="en-US" w:eastAsia="en-US"/>
        </w:rPr>
        <w:t xml:space="preserve">Proposal 6. For semi-persistent HARQ codebook in eMTC over NTN, </w:t>
      </w:r>
      <w:r>
        <w:rPr>
          <w:rFonts w:hint="default" w:ascii="Times New Roman" w:hAnsi="Times New Roman" w:cs="Times New Roman" w:eastAsiaTheme="minorEastAsia"/>
          <w:b/>
          <w:bCs w:val="0"/>
          <w:iCs/>
          <w:kern w:val="2"/>
          <w:sz w:val="20"/>
          <w:szCs w:val="20"/>
          <w:lang w:eastAsia="en-US"/>
        </w:rPr>
        <w:t xml:space="preserve">the UE </w:t>
      </w:r>
      <w:r>
        <w:rPr>
          <w:rFonts w:hint="default" w:ascii="Times New Roman" w:hAnsi="Times New Roman" w:cs="Times New Roman" w:eastAsiaTheme="minorEastAsia"/>
          <w:b/>
          <w:bCs w:val="0"/>
          <w:iCs/>
          <w:kern w:val="2"/>
          <w:sz w:val="20"/>
          <w:szCs w:val="20"/>
          <w:lang w:val="en-US" w:eastAsia="en-US"/>
        </w:rPr>
        <w:t>can</w:t>
      </w:r>
      <w:r>
        <w:rPr>
          <w:rFonts w:hint="default" w:ascii="Times New Roman" w:hAnsi="Times New Roman" w:cs="Times New Roman" w:eastAsiaTheme="minorEastAsia"/>
          <w:b/>
          <w:bCs w:val="0"/>
          <w:iCs/>
          <w:kern w:val="2"/>
          <w:sz w:val="20"/>
          <w:szCs w:val="20"/>
          <w:lang w:eastAsia="en-US"/>
        </w:rPr>
        <w:t xml:space="preserve"> consistently report NACK-only for the feedback-disabled HARQ process regardless of decoding results of corresponding PDSCH.</w:t>
      </w:r>
    </w:p>
    <w:p>
      <w:pPr>
        <w:snapToGrid/>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b/>
          <w:bCs w:val="0"/>
          <w:i w:val="0"/>
          <w:iCs/>
          <w:sz w:val="20"/>
          <w:szCs w:val="20"/>
          <w:u w:val="none"/>
          <w:lang w:val="en-US"/>
        </w:rPr>
        <w:t xml:space="preserve">Proposal 7. For HARQ codebook depending on the DAI </w:t>
      </w:r>
      <w:r>
        <w:rPr>
          <w:rFonts w:hint="default" w:ascii="Times New Roman" w:hAnsi="Times New Roman" w:cs="Times New Roman" w:eastAsiaTheme="minorEastAsia"/>
          <w:b/>
          <w:bCs w:val="0"/>
          <w:iCs/>
          <w:kern w:val="2"/>
          <w:sz w:val="20"/>
          <w:szCs w:val="20"/>
          <w:lang w:val="en-US" w:eastAsia="en-US"/>
        </w:rPr>
        <w:t xml:space="preserve">for eMTC over NTN, </w:t>
      </w:r>
      <w:r>
        <w:rPr>
          <w:rFonts w:hint="default" w:ascii="Times New Roman" w:hAnsi="Times New Roman" w:cs="Times New Roman" w:eastAsiaTheme="minorEastAsia"/>
          <w:b/>
          <w:bCs w:val="0"/>
          <w:iCs/>
          <w:kern w:val="2"/>
          <w:sz w:val="20"/>
          <w:szCs w:val="20"/>
          <w:lang w:val="en-US" w:eastAsia="zh-CN"/>
        </w:rPr>
        <w:t>t</w:t>
      </w:r>
      <w:r>
        <w:rPr>
          <w:rFonts w:hint="default" w:ascii="Times New Roman" w:hAnsi="Times New Roman" w:cs="Times New Roman" w:eastAsiaTheme="minorEastAsia"/>
          <w:b/>
          <w:bCs w:val="0"/>
          <w:iCs/>
          <w:kern w:val="2"/>
          <w:sz w:val="20"/>
          <w:szCs w:val="20"/>
          <w:lang w:eastAsia="zh-CN"/>
        </w:rPr>
        <w:t>he C-DAI and T-DAI are the count of feedback-enabled processes</w:t>
      </w:r>
      <w:r>
        <w:rPr>
          <w:rFonts w:hint="default" w:ascii="Times New Roman" w:hAnsi="Times New Roman" w:cs="Times New Roman" w:eastAsiaTheme="minorEastAsia"/>
          <w:b/>
          <w:bCs w:val="0"/>
          <w:iCs/>
          <w:kern w:val="2"/>
          <w:sz w:val="20"/>
          <w:szCs w:val="20"/>
          <w:lang w:val="en-US" w:eastAsia="zh-CN"/>
        </w:rPr>
        <w:t>.</w:t>
      </w:r>
    </w:p>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rPr>
      </w:pPr>
      <w:r>
        <w:rPr>
          <w:rFonts w:ascii="Times New Roman" w:hAnsi="Times New Roman" w:cs="Times New Roman"/>
        </w:rPr>
        <w:t>References</w:t>
      </w:r>
    </w:p>
    <w:p>
      <w:pPr>
        <w:pStyle w:val="112"/>
        <w:keepLines w:val="0"/>
        <w:pageBreakBefore w:val="0"/>
        <w:numPr>
          <w:ilvl w:val="0"/>
          <w:numId w:val="13"/>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6" w:name="_Ref23496549"/>
      <w:bookmarkStart w:id="7" w:name="_Ref83712416"/>
      <w:bookmarkStart w:id="8" w:name="_Ref78875676"/>
      <w:bookmarkStart w:id="9" w:name="_Ref60817485"/>
      <w:bookmarkStart w:id="10" w:name="_Ref521162878"/>
      <w:bookmarkStart w:id="11" w:name="_Ref53491160"/>
      <w:bookmarkStart w:id="12" w:name="_Ref505807368"/>
      <w:bookmarkStart w:id="13" w:name="_Ref533782101"/>
      <w:bookmarkStart w:id="14" w:name="_Ref30757894"/>
      <w:bookmarkStart w:id="15" w:name="_Ref53511278"/>
      <w:bookmarkStart w:id="16" w:name="_Ref521313643"/>
      <w:bookmarkStart w:id="17" w:name="_Ref86784880"/>
      <w:bookmarkStart w:id="18" w:name="_Ref71203205"/>
      <w:bookmarkStart w:id="19" w:name="_Ref505867252"/>
      <w:r>
        <w:rPr>
          <w:rFonts w:hint="eastAsia" w:cs="Times New Roman"/>
          <w:sz w:val="20"/>
          <w:szCs w:val="20"/>
        </w:rPr>
        <w:t>RP-2</w:t>
      </w:r>
      <w:r>
        <w:rPr>
          <w:rFonts w:hint="default" w:cs="Times New Roman"/>
          <w:sz w:val="20"/>
          <w:szCs w:val="20"/>
          <w:lang w:val="en-US"/>
        </w:rPr>
        <w:t>20979</w:t>
      </w:r>
      <w:r>
        <w:rPr>
          <w:rFonts w:hint="eastAsia" w:cs="Times New Roman"/>
          <w:sz w:val="20"/>
          <w:szCs w:val="20"/>
        </w:rPr>
        <w:t>, Revised WID on IoT NTN enhancements, RAN#9</w:t>
      </w:r>
      <w:r>
        <w:rPr>
          <w:rFonts w:hint="default" w:cs="Times New Roman"/>
          <w:sz w:val="20"/>
          <w:szCs w:val="20"/>
          <w:lang w:val="en-US"/>
        </w:rPr>
        <w:t>5.</w:t>
      </w:r>
      <w:r>
        <w:rPr>
          <w:rFonts w:hint="eastAsia" w:cs="Times New Roman"/>
          <w:sz w:val="20"/>
          <w:szCs w:val="20"/>
        </w:rPr>
        <w:t xml:space="preserve"> </w:t>
      </w:r>
    </w:p>
    <w:p>
      <w:pPr>
        <w:pStyle w:val="112"/>
        <w:keepLines w:val="0"/>
        <w:pageBreakBefore w:val="0"/>
        <w:numPr>
          <w:ilvl w:val="0"/>
          <w:numId w:val="13"/>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R1-2</w:t>
      </w:r>
      <w:r>
        <w:rPr>
          <w:rFonts w:hint="default" w:cs="Times New Roman"/>
          <w:sz w:val="20"/>
          <w:szCs w:val="20"/>
          <w:lang w:val="en-US"/>
        </w:rPr>
        <w:t>007311</w:t>
      </w:r>
      <w:r>
        <w:rPr>
          <w:rFonts w:hint="eastAsia" w:cs="Times New Roman"/>
          <w:sz w:val="20"/>
          <w:szCs w:val="20"/>
        </w:rPr>
        <w:t xml:space="preserve">, “Summary#3 of AI 8.4.3 for HARQ in NTN”, August 17th </w:t>
      </w:r>
      <w:r>
        <w:rPr>
          <w:rFonts w:hint="default" w:cs="Times New Roman"/>
          <w:sz w:val="20"/>
          <w:szCs w:val="20"/>
          <w:lang w:val="en-US"/>
        </w:rPr>
        <w:t>-</w:t>
      </w:r>
      <w:r>
        <w:rPr>
          <w:rFonts w:hint="eastAsia" w:cs="Times New Roman"/>
          <w:sz w:val="20"/>
          <w:szCs w:val="20"/>
        </w:rPr>
        <w:t xml:space="preserve"> 28th, 2020.</w:t>
      </w:r>
    </w:p>
    <w:p>
      <w:pPr>
        <w:pStyle w:val="112"/>
        <w:keepLines w:val="0"/>
        <w:pageBreakBefore w:val="0"/>
        <w:numPr>
          <w:ilvl w:val="0"/>
          <w:numId w:val="13"/>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default" w:cs="Times New Roman"/>
          <w:sz w:val="20"/>
          <w:szCs w:val="20"/>
          <w:lang w:val="en-US"/>
        </w:rPr>
        <w:t>R1-2202910, “3GPP TSG-RAN WG1 Agreements under 8.4 up to eMeeting RAN1#108-e”, February 21th - March 3rd, 2022.</w:t>
      </w: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6">
    <w:nsid w:val="39CA2CC7"/>
    <w:multiLevelType w:val="multilevel"/>
    <w:tmpl w:val="39CA2CC7"/>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1"/>
  </w:num>
  <w:num w:numId="4">
    <w:abstractNumId w:val="5"/>
  </w:num>
  <w:num w:numId="5">
    <w:abstractNumId w:val="11"/>
  </w:num>
  <w:num w:numId="6">
    <w:abstractNumId w:val="12"/>
  </w:num>
  <w:num w:numId="7">
    <w:abstractNumId w:val="7"/>
    <w:lvlOverride w:ilvl="0">
      <w:startOverride w:val="1"/>
    </w:lvlOverride>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666188F"/>
    <w:rsid w:val="09310529"/>
    <w:rsid w:val="0A6A531A"/>
    <w:rsid w:val="12976D2A"/>
    <w:rsid w:val="1320158C"/>
    <w:rsid w:val="23027CE4"/>
    <w:rsid w:val="26546D6A"/>
    <w:rsid w:val="288C7277"/>
    <w:rsid w:val="2A520582"/>
    <w:rsid w:val="353C0870"/>
    <w:rsid w:val="37A45E5B"/>
    <w:rsid w:val="3905688A"/>
    <w:rsid w:val="3D930104"/>
    <w:rsid w:val="3F095E9D"/>
    <w:rsid w:val="407F1303"/>
    <w:rsid w:val="41CA3534"/>
    <w:rsid w:val="4431391D"/>
    <w:rsid w:val="4C2705AF"/>
    <w:rsid w:val="4CF82E4F"/>
    <w:rsid w:val="53D8539B"/>
    <w:rsid w:val="55EB38AA"/>
    <w:rsid w:val="587B2CB1"/>
    <w:rsid w:val="62665E83"/>
    <w:rsid w:val="68FA6D78"/>
    <w:rsid w:val="70F61E69"/>
    <w:rsid w:val="71382523"/>
    <w:rsid w:val="778641AC"/>
    <w:rsid w:val="7B252B0C"/>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1200</Words>
  <Characters>6841</Characters>
  <Lines>57</Lines>
  <Paragraphs>16</Paragraphs>
  <TotalTime>167</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2022-04-29T03:05:36Z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